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AC" w:rsidRPr="00A527A5" w:rsidRDefault="00CD4EAC" w:rsidP="00CD4EAC">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report, </w:t>
      </w:r>
      <w:r>
        <w:rPr>
          <w:rFonts w:ascii="Arial" w:hAnsi="Arial" w:cs="Arial"/>
          <w:bCs/>
          <w:i/>
          <w:spacing w:val="-3"/>
          <w:sz w:val="22"/>
          <w:szCs w:val="22"/>
        </w:rPr>
        <w:t xml:space="preserve">The Queensland Government’s Response to Coronial Recommendations 2011 </w:t>
      </w:r>
      <w:r>
        <w:rPr>
          <w:rFonts w:ascii="Arial" w:hAnsi="Arial" w:cs="Arial"/>
          <w:bCs/>
          <w:spacing w:val="-3"/>
          <w:sz w:val="22"/>
          <w:szCs w:val="22"/>
        </w:rPr>
        <w:t xml:space="preserve">(the 2011 Report) documents the Government’s response to coronial recommendations and comments directed to it in 2011 as well as those which were still under consideration in the 2010 Report. </w:t>
      </w:r>
    </w:p>
    <w:p w:rsidR="00CD4EAC" w:rsidRPr="00F76722" w:rsidRDefault="00CD4EAC" w:rsidP="00CD4EA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The 2011 Report details the implementation status of one hundred recommendations and comments directed to Government originating from 25 inquests held in 2011. Some recommendations were directed to multiple agencies so either joint responses (counted once) or individual responses were provided. Consequently, the report consists of 97 responses, of which:</w:t>
      </w:r>
    </w:p>
    <w:p w:rsidR="00CD4EAC" w:rsidRPr="00F76722" w:rsidRDefault="00CD4EAC" w:rsidP="00CD4EAC">
      <w:pPr>
        <w:keepLines/>
        <w:numPr>
          <w:ilvl w:val="0"/>
          <w:numId w:val="7"/>
        </w:numPr>
        <w:spacing w:before="120"/>
        <w:jc w:val="both"/>
        <w:rPr>
          <w:rFonts w:ascii="Arial" w:hAnsi="Arial" w:cs="Arial"/>
          <w:color w:val="auto"/>
          <w:sz w:val="22"/>
          <w:szCs w:val="22"/>
        </w:rPr>
      </w:pPr>
      <w:r>
        <w:rPr>
          <w:rFonts w:ascii="Arial" w:hAnsi="Arial" w:cs="Arial"/>
          <w:color w:val="auto"/>
          <w:sz w:val="22"/>
          <w:szCs w:val="22"/>
        </w:rPr>
        <w:t>61</w:t>
      </w:r>
      <w:r w:rsidRPr="00F76722">
        <w:rPr>
          <w:rFonts w:ascii="Arial" w:hAnsi="Arial" w:cs="Arial"/>
          <w:color w:val="auto"/>
          <w:sz w:val="22"/>
          <w:szCs w:val="22"/>
        </w:rPr>
        <w:t xml:space="preserve"> responses </w:t>
      </w:r>
      <w:r w:rsidR="007D4FD6">
        <w:rPr>
          <w:rFonts w:ascii="Arial" w:hAnsi="Arial" w:cs="Arial"/>
          <w:color w:val="auto"/>
          <w:sz w:val="22"/>
          <w:szCs w:val="22"/>
        </w:rPr>
        <w:t xml:space="preserve">are </w:t>
      </w:r>
      <w:r w:rsidRPr="00F76722">
        <w:rPr>
          <w:rFonts w:ascii="Arial" w:hAnsi="Arial" w:cs="Arial"/>
          <w:color w:val="auto"/>
          <w:sz w:val="22"/>
          <w:szCs w:val="22"/>
        </w:rPr>
        <w:t xml:space="preserve">designated as </w:t>
      </w:r>
      <w:r w:rsidRPr="00F76722">
        <w:rPr>
          <w:rFonts w:ascii="Arial" w:hAnsi="Arial" w:cs="Arial"/>
          <w:i/>
          <w:color w:val="auto"/>
          <w:sz w:val="22"/>
          <w:szCs w:val="22"/>
        </w:rPr>
        <w:t>‘completed’</w:t>
      </w:r>
      <w:r w:rsidRPr="00F76722">
        <w:rPr>
          <w:rFonts w:ascii="Arial" w:hAnsi="Arial" w:cs="Arial"/>
          <w:color w:val="auto"/>
          <w:sz w:val="22"/>
          <w:szCs w:val="22"/>
        </w:rPr>
        <w:t xml:space="preserve">; </w:t>
      </w:r>
    </w:p>
    <w:p w:rsidR="00CD4EAC" w:rsidRPr="00F76722" w:rsidRDefault="00CD4EAC" w:rsidP="00CD4EAC">
      <w:pPr>
        <w:keepLines/>
        <w:numPr>
          <w:ilvl w:val="0"/>
          <w:numId w:val="7"/>
        </w:numPr>
        <w:spacing w:before="120"/>
        <w:jc w:val="both"/>
        <w:rPr>
          <w:rFonts w:ascii="Arial" w:hAnsi="Arial" w:cs="Arial"/>
          <w:color w:val="auto"/>
          <w:sz w:val="22"/>
          <w:szCs w:val="22"/>
        </w:rPr>
      </w:pPr>
      <w:r>
        <w:rPr>
          <w:rFonts w:ascii="Arial" w:hAnsi="Arial" w:cs="Arial"/>
          <w:color w:val="auto"/>
          <w:sz w:val="22"/>
          <w:szCs w:val="22"/>
        </w:rPr>
        <w:t>26</w:t>
      </w:r>
      <w:r w:rsidRPr="00F76722">
        <w:rPr>
          <w:rFonts w:ascii="Arial" w:hAnsi="Arial" w:cs="Arial"/>
          <w:color w:val="auto"/>
          <w:sz w:val="22"/>
          <w:szCs w:val="22"/>
        </w:rPr>
        <w:t xml:space="preserve"> responses </w:t>
      </w:r>
      <w:r w:rsidR="00906583">
        <w:rPr>
          <w:rFonts w:ascii="Arial" w:hAnsi="Arial" w:cs="Arial"/>
          <w:color w:val="auto"/>
          <w:sz w:val="22"/>
          <w:szCs w:val="22"/>
        </w:rPr>
        <w:t xml:space="preserve">are </w:t>
      </w:r>
      <w:r w:rsidRPr="00F76722">
        <w:rPr>
          <w:rFonts w:ascii="Arial" w:hAnsi="Arial" w:cs="Arial"/>
          <w:color w:val="auto"/>
          <w:sz w:val="22"/>
          <w:szCs w:val="22"/>
        </w:rPr>
        <w:t xml:space="preserve">designated as </w:t>
      </w:r>
      <w:r w:rsidRPr="00F76722">
        <w:rPr>
          <w:rFonts w:ascii="Arial" w:hAnsi="Arial" w:cs="Arial"/>
          <w:i/>
          <w:color w:val="auto"/>
          <w:sz w:val="22"/>
          <w:szCs w:val="22"/>
        </w:rPr>
        <w:t>‘partially completed’</w:t>
      </w:r>
      <w:r w:rsidRPr="00F76722">
        <w:rPr>
          <w:rFonts w:ascii="Arial" w:hAnsi="Arial" w:cs="Arial"/>
          <w:color w:val="auto"/>
          <w:sz w:val="22"/>
          <w:szCs w:val="22"/>
        </w:rPr>
        <w:t xml:space="preserve">; </w:t>
      </w:r>
    </w:p>
    <w:p w:rsidR="00CD4EAC" w:rsidRPr="00F76722" w:rsidRDefault="00CD4EAC" w:rsidP="00CD4EAC">
      <w:pPr>
        <w:keepLines/>
        <w:numPr>
          <w:ilvl w:val="0"/>
          <w:numId w:val="7"/>
        </w:numPr>
        <w:spacing w:before="120"/>
        <w:jc w:val="both"/>
        <w:rPr>
          <w:rFonts w:ascii="Arial" w:hAnsi="Arial" w:cs="Arial"/>
          <w:color w:val="auto"/>
          <w:sz w:val="22"/>
          <w:szCs w:val="22"/>
        </w:rPr>
      </w:pPr>
      <w:r w:rsidRPr="00F76722">
        <w:rPr>
          <w:rFonts w:ascii="Arial" w:hAnsi="Arial" w:cs="Arial"/>
          <w:color w:val="auto"/>
          <w:sz w:val="22"/>
          <w:szCs w:val="22"/>
        </w:rPr>
        <w:t xml:space="preserve">seven responses </w:t>
      </w:r>
      <w:r w:rsidR="00906583">
        <w:rPr>
          <w:rFonts w:ascii="Arial" w:hAnsi="Arial" w:cs="Arial"/>
          <w:color w:val="auto"/>
          <w:sz w:val="22"/>
          <w:szCs w:val="22"/>
        </w:rPr>
        <w:t xml:space="preserve">are </w:t>
      </w:r>
      <w:r w:rsidRPr="00F76722">
        <w:rPr>
          <w:rFonts w:ascii="Arial" w:hAnsi="Arial" w:cs="Arial"/>
          <w:color w:val="auto"/>
          <w:sz w:val="22"/>
          <w:szCs w:val="22"/>
        </w:rPr>
        <w:t xml:space="preserve">designated as </w:t>
      </w:r>
      <w:r w:rsidRPr="00F76722">
        <w:rPr>
          <w:rFonts w:ascii="Arial" w:hAnsi="Arial" w:cs="Arial"/>
          <w:i/>
          <w:color w:val="auto"/>
          <w:sz w:val="22"/>
          <w:szCs w:val="22"/>
        </w:rPr>
        <w:t>‘under consideration’</w:t>
      </w:r>
      <w:r w:rsidRPr="00F76722">
        <w:rPr>
          <w:rFonts w:ascii="Arial" w:hAnsi="Arial" w:cs="Arial"/>
          <w:color w:val="auto"/>
          <w:sz w:val="22"/>
          <w:szCs w:val="22"/>
        </w:rPr>
        <w:t xml:space="preserve"> </w:t>
      </w:r>
      <w:r>
        <w:rPr>
          <w:rFonts w:ascii="Arial" w:hAnsi="Arial" w:cs="Arial"/>
          <w:color w:val="auto"/>
          <w:sz w:val="22"/>
          <w:szCs w:val="22"/>
        </w:rPr>
        <w:t>which will be incorporated into the ann</w:t>
      </w:r>
      <w:r w:rsidR="00906583">
        <w:rPr>
          <w:rFonts w:ascii="Arial" w:hAnsi="Arial" w:cs="Arial"/>
          <w:color w:val="auto"/>
          <w:sz w:val="22"/>
          <w:szCs w:val="22"/>
        </w:rPr>
        <w:t>ual report for 2012</w:t>
      </w:r>
      <w:r w:rsidRPr="00F76722">
        <w:rPr>
          <w:rFonts w:ascii="Arial" w:hAnsi="Arial" w:cs="Arial"/>
          <w:color w:val="auto"/>
          <w:sz w:val="22"/>
          <w:szCs w:val="22"/>
        </w:rPr>
        <w:t xml:space="preserve">; </w:t>
      </w:r>
      <w:r>
        <w:rPr>
          <w:rFonts w:ascii="Arial" w:hAnsi="Arial" w:cs="Arial"/>
          <w:color w:val="auto"/>
          <w:sz w:val="22"/>
          <w:szCs w:val="22"/>
        </w:rPr>
        <w:t>and</w:t>
      </w:r>
    </w:p>
    <w:p w:rsidR="00CD4EAC" w:rsidRPr="00F76722" w:rsidRDefault="00CD4EAC" w:rsidP="00CD4EAC">
      <w:pPr>
        <w:keepLines/>
        <w:numPr>
          <w:ilvl w:val="0"/>
          <w:numId w:val="7"/>
        </w:numPr>
        <w:tabs>
          <w:tab w:val="clear" w:pos="720"/>
        </w:tabs>
        <w:spacing w:before="120"/>
        <w:jc w:val="both"/>
        <w:rPr>
          <w:rFonts w:ascii="Arial" w:hAnsi="Arial" w:cs="Arial"/>
          <w:sz w:val="22"/>
          <w:szCs w:val="22"/>
        </w:rPr>
      </w:pPr>
      <w:r w:rsidRPr="00F76722">
        <w:rPr>
          <w:rFonts w:ascii="Arial" w:hAnsi="Arial" w:cs="Arial"/>
          <w:color w:val="auto"/>
          <w:sz w:val="22"/>
          <w:szCs w:val="22"/>
        </w:rPr>
        <w:t xml:space="preserve">three responses </w:t>
      </w:r>
      <w:r w:rsidR="00906583">
        <w:rPr>
          <w:rFonts w:ascii="Arial" w:hAnsi="Arial" w:cs="Arial"/>
          <w:color w:val="auto"/>
          <w:sz w:val="22"/>
          <w:szCs w:val="22"/>
        </w:rPr>
        <w:t xml:space="preserve">are </w:t>
      </w:r>
      <w:r w:rsidRPr="00F76722">
        <w:rPr>
          <w:rFonts w:ascii="Arial" w:hAnsi="Arial" w:cs="Arial"/>
          <w:color w:val="auto"/>
          <w:sz w:val="22"/>
          <w:szCs w:val="22"/>
        </w:rPr>
        <w:t xml:space="preserve">designated as </w:t>
      </w:r>
      <w:r w:rsidRPr="00F76722">
        <w:rPr>
          <w:rFonts w:ascii="Arial" w:hAnsi="Arial" w:cs="Arial"/>
          <w:i/>
          <w:color w:val="auto"/>
          <w:sz w:val="22"/>
          <w:szCs w:val="22"/>
        </w:rPr>
        <w:t>‘not being implemented’</w:t>
      </w:r>
      <w:r w:rsidRPr="00F76722">
        <w:rPr>
          <w:rFonts w:ascii="Arial" w:hAnsi="Arial" w:cs="Arial"/>
          <w:color w:val="auto"/>
          <w:sz w:val="22"/>
          <w:szCs w:val="22"/>
        </w:rPr>
        <w:t xml:space="preserve"> </w:t>
      </w:r>
      <w:r>
        <w:rPr>
          <w:rFonts w:ascii="Arial" w:hAnsi="Arial" w:cs="Arial"/>
          <w:color w:val="auto"/>
          <w:sz w:val="22"/>
          <w:szCs w:val="22"/>
        </w:rPr>
        <w:t>indicating that after consideration, the responsible agency has elected,</w:t>
      </w:r>
      <w:r w:rsidRPr="00F76722">
        <w:rPr>
          <w:rFonts w:ascii="Arial" w:hAnsi="Arial" w:cs="Arial"/>
          <w:color w:val="auto"/>
          <w:sz w:val="22"/>
          <w:szCs w:val="22"/>
        </w:rPr>
        <w:t xml:space="preserve"> with ministerial </w:t>
      </w:r>
      <w:r w:rsidRPr="00F76722">
        <w:rPr>
          <w:rFonts w:ascii="Arial" w:hAnsi="Arial" w:cs="Arial"/>
          <w:sz w:val="22"/>
          <w:szCs w:val="22"/>
        </w:rPr>
        <w:t xml:space="preserve">endorsement, not to implement </w:t>
      </w:r>
      <w:r>
        <w:rPr>
          <w:rFonts w:ascii="Arial" w:hAnsi="Arial" w:cs="Arial"/>
          <w:sz w:val="22"/>
          <w:szCs w:val="22"/>
        </w:rPr>
        <w:t>the</w:t>
      </w:r>
      <w:r w:rsidRPr="00F76722">
        <w:rPr>
          <w:rFonts w:ascii="Arial" w:hAnsi="Arial" w:cs="Arial"/>
          <w:sz w:val="22"/>
          <w:szCs w:val="22"/>
        </w:rPr>
        <w:t xml:space="preserve"> recommendation.</w:t>
      </w:r>
    </w:p>
    <w:p w:rsidR="00CD4EAC" w:rsidRPr="00F76722" w:rsidRDefault="00CD4EAC" w:rsidP="00CD4EA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2011 Report also contains updated responses to two recommendations which were still under consideration in the 2010 Report. </w:t>
      </w:r>
      <w:r w:rsidRPr="00F76722">
        <w:rPr>
          <w:rFonts w:ascii="Arial" w:hAnsi="Arial" w:cs="Arial"/>
          <w:bCs/>
          <w:spacing w:val="-3"/>
          <w:sz w:val="22"/>
          <w:szCs w:val="22"/>
        </w:rPr>
        <w:t xml:space="preserve">The </w:t>
      </w:r>
      <w:r w:rsidRPr="00F76722">
        <w:rPr>
          <w:rFonts w:ascii="Arial" w:hAnsi="Arial" w:cs="Arial"/>
          <w:sz w:val="22"/>
          <w:szCs w:val="22"/>
        </w:rPr>
        <w:t>implementation</w:t>
      </w:r>
      <w:r w:rsidR="00906583">
        <w:rPr>
          <w:rFonts w:ascii="Arial" w:hAnsi="Arial" w:cs="Arial"/>
          <w:sz w:val="22"/>
          <w:szCs w:val="22"/>
        </w:rPr>
        <w:t xml:space="preserve"> status</w:t>
      </w:r>
      <w:r w:rsidRPr="00F76722">
        <w:rPr>
          <w:rFonts w:ascii="Arial" w:hAnsi="Arial" w:cs="Arial"/>
          <w:sz w:val="22"/>
          <w:szCs w:val="22"/>
        </w:rPr>
        <w:t xml:space="preserve"> of both responses ha</w:t>
      </w:r>
      <w:r>
        <w:rPr>
          <w:rFonts w:ascii="Arial" w:hAnsi="Arial" w:cs="Arial"/>
          <w:sz w:val="22"/>
          <w:szCs w:val="22"/>
        </w:rPr>
        <w:t>ve</w:t>
      </w:r>
      <w:r w:rsidRPr="00F76722">
        <w:rPr>
          <w:rFonts w:ascii="Arial" w:hAnsi="Arial" w:cs="Arial"/>
          <w:sz w:val="22"/>
          <w:szCs w:val="22"/>
        </w:rPr>
        <w:t xml:space="preserve"> now been updated to </w:t>
      </w:r>
      <w:r w:rsidRPr="00F76722">
        <w:rPr>
          <w:rFonts w:ascii="Arial" w:hAnsi="Arial" w:cs="Arial"/>
          <w:i/>
          <w:sz w:val="22"/>
          <w:szCs w:val="22"/>
        </w:rPr>
        <w:t>‘partially completed’</w:t>
      </w:r>
      <w:r>
        <w:rPr>
          <w:rFonts w:ascii="Arial" w:hAnsi="Arial" w:cs="Arial"/>
          <w:i/>
          <w:sz w:val="22"/>
          <w:szCs w:val="22"/>
        </w:rPr>
        <w:t>.</w:t>
      </w:r>
    </w:p>
    <w:p w:rsidR="00CD4EAC" w:rsidRPr="00CE6FBA" w:rsidRDefault="00CD4EAC" w:rsidP="00CD4EA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The responses compiled in the 2011 Report were authored by the individual agencies to which the recommendation or comments were directed. Further information regarding the implementation of these recommendations is to be obtained from the responsible agency listed in the report. </w:t>
      </w:r>
    </w:p>
    <w:p w:rsidR="00CD4EAC" w:rsidRDefault="00CD4EAC" w:rsidP="00CD4EAC">
      <w:pPr>
        <w:numPr>
          <w:ilvl w:val="0"/>
          <w:numId w:val="1"/>
        </w:numPr>
        <w:tabs>
          <w:tab w:val="clear" w:pos="720"/>
          <w:tab w:val="num" w:pos="360"/>
        </w:tabs>
        <w:spacing w:before="240"/>
        <w:ind w:left="360"/>
        <w:jc w:val="both"/>
        <w:rPr>
          <w:rFonts w:ascii="Arial" w:hAnsi="Arial" w:cs="Arial"/>
          <w:bCs/>
          <w:spacing w:val="-3"/>
          <w:sz w:val="22"/>
          <w:szCs w:val="22"/>
        </w:rPr>
      </w:pPr>
      <w:r w:rsidRPr="0009367F">
        <w:rPr>
          <w:rFonts w:ascii="Arial" w:hAnsi="Arial" w:cs="Arial"/>
          <w:sz w:val="22"/>
          <w:szCs w:val="22"/>
        </w:rPr>
        <w:t xml:space="preserve">Cabinet approved </w:t>
      </w:r>
      <w:r>
        <w:rPr>
          <w:rFonts w:ascii="Arial" w:hAnsi="Arial" w:cs="Arial"/>
          <w:bCs/>
          <w:spacing w:val="-3"/>
          <w:sz w:val="22"/>
          <w:szCs w:val="22"/>
        </w:rPr>
        <w:t>th</w:t>
      </w:r>
      <w:r w:rsidRPr="0009367F">
        <w:rPr>
          <w:rFonts w:ascii="Arial" w:hAnsi="Arial" w:cs="Arial"/>
          <w:bCs/>
          <w:spacing w:val="-3"/>
          <w:sz w:val="22"/>
          <w:szCs w:val="22"/>
        </w:rPr>
        <w:t>e contents of the report</w:t>
      </w:r>
      <w:r>
        <w:rPr>
          <w:rFonts w:ascii="Arial" w:hAnsi="Arial" w:cs="Arial"/>
          <w:bCs/>
          <w:spacing w:val="-3"/>
          <w:sz w:val="22"/>
          <w:szCs w:val="22"/>
        </w:rPr>
        <w:t>,</w:t>
      </w:r>
      <w:r w:rsidRPr="0009367F">
        <w:rPr>
          <w:rFonts w:ascii="Arial" w:hAnsi="Arial" w:cs="Arial"/>
          <w:bCs/>
          <w:spacing w:val="-3"/>
          <w:sz w:val="22"/>
          <w:szCs w:val="22"/>
        </w:rPr>
        <w:t xml:space="preserve"> </w:t>
      </w:r>
      <w:r>
        <w:rPr>
          <w:rFonts w:ascii="Arial" w:hAnsi="Arial" w:cs="Arial"/>
          <w:bCs/>
          <w:i/>
          <w:spacing w:val="-3"/>
          <w:sz w:val="22"/>
          <w:szCs w:val="22"/>
        </w:rPr>
        <w:t xml:space="preserve">The </w:t>
      </w:r>
      <w:smartTag w:uri="urn:schemas-microsoft-com:office:smarttags" w:element="place">
        <w:smartTag w:uri="urn:schemas-microsoft-com:office:smarttags" w:element="State">
          <w:r w:rsidRPr="0009367F">
            <w:rPr>
              <w:rFonts w:ascii="Arial" w:hAnsi="Arial" w:cs="Arial"/>
              <w:bCs/>
              <w:i/>
              <w:spacing w:val="-3"/>
              <w:sz w:val="22"/>
              <w:szCs w:val="22"/>
            </w:rPr>
            <w:t>Queensland</w:t>
          </w:r>
        </w:smartTag>
      </w:smartTag>
      <w:r w:rsidRPr="0009367F">
        <w:rPr>
          <w:rFonts w:ascii="Arial" w:hAnsi="Arial" w:cs="Arial"/>
          <w:bCs/>
          <w:i/>
          <w:spacing w:val="-3"/>
          <w:sz w:val="22"/>
          <w:szCs w:val="22"/>
        </w:rPr>
        <w:t xml:space="preserve"> Government’s Response to Coronial Recommendations 201</w:t>
      </w:r>
      <w:r>
        <w:rPr>
          <w:rFonts w:ascii="Arial" w:hAnsi="Arial" w:cs="Arial"/>
          <w:bCs/>
          <w:i/>
          <w:spacing w:val="-3"/>
          <w:sz w:val="22"/>
          <w:szCs w:val="22"/>
        </w:rPr>
        <w:t>1</w:t>
      </w:r>
      <w:r w:rsidR="00F026DB">
        <w:rPr>
          <w:rFonts w:ascii="Arial" w:hAnsi="Arial" w:cs="Arial"/>
          <w:bCs/>
          <w:spacing w:val="-3"/>
          <w:sz w:val="22"/>
          <w:szCs w:val="22"/>
        </w:rPr>
        <w:t>,</w:t>
      </w:r>
      <w:r>
        <w:rPr>
          <w:rFonts w:ascii="Arial" w:hAnsi="Arial" w:cs="Arial"/>
          <w:bCs/>
          <w:spacing w:val="-3"/>
          <w:sz w:val="22"/>
          <w:szCs w:val="22"/>
        </w:rPr>
        <w:t xml:space="preserve"> and its public release.</w:t>
      </w:r>
    </w:p>
    <w:p w:rsidR="00CD4EAC" w:rsidRPr="00F76722" w:rsidRDefault="00CD4EAC" w:rsidP="00F026DB">
      <w:pPr>
        <w:numPr>
          <w:ilvl w:val="0"/>
          <w:numId w:val="1"/>
        </w:numPr>
        <w:tabs>
          <w:tab w:val="clear" w:pos="720"/>
          <w:tab w:val="num" w:pos="360"/>
        </w:tabs>
        <w:spacing w:before="360"/>
        <w:ind w:left="357" w:hanging="357"/>
        <w:jc w:val="both"/>
        <w:rPr>
          <w:rFonts w:ascii="Arial" w:hAnsi="Arial" w:cs="Arial"/>
          <w:bCs/>
          <w:spacing w:val="-3"/>
          <w:sz w:val="22"/>
          <w:szCs w:val="22"/>
        </w:rPr>
      </w:pPr>
      <w:r w:rsidRPr="00C07656">
        <w:rPr>
          <w:rFonts w:ascii="Arial" w:hAnsi="Arial" w:cs="Arial"/>
          <w:i/>
          <w:sz w:val="22"/>
          <w:szCs w:val="22"/>
          <w:u w:val="single"/>
        </w:rPr>
        <w:t>Attachments</w:t>
      </w:r>
      <w:r w:rsidR="006E47CB">
        <w:rPr>
          <w:rFonts w:ascii="Arial" w:hAnsi="Arial" w:cs="Arial"/>
          <w:i/>
          <w:sz w:val="22"/>
          <w:szCs w:val="22"/>
          <w:u w:val="single"/>
        </w:rPr>
        <w:t>:</w:t>
      </w:r>
    </w:p>
    <w:p w:rsidR="00526D74" w:rsidRPr="00F026DB" w:rsidRDefault="00D17478" w:rsidP="00D6589B">
      <w:pPr>
        <w:numPr>
          <w:ilvl w:val="0"/>
          <w:numId w:val="2"/>
        </w:numPr>
        <w:tabs>
          <w:tab w:val="num" w:pos="280"/>
        </w:tabs>
        <w:spacing w:before="120"/>
        <w:ind w:left="811"/>
        <w:jc w:val="both"/>
        <w:rPr>
          <w:rFonts w:ascii="Arial" w:hAnsi="Arial" w:cs="Arial"/>
          <w:sz w:val="22"/>
          <w:szCs w:val="22"/>
        </w:rPr>
      </w:pPr>
      <w:hyperlink r:id="rId7" w:history="1">
        <w:r w:rsidR="00CD4EAC" w:rsidRPr="001F5E88">
          <w:rPr>
            <w:rStyle w:val="Hyperlink"/>
            <w:rFonts w:ascii="Arial" w:hAnsi="Arial" w:cs="Arial"/>
            <w:i/>
            <w:sz w:val="22"/>
            <w:szCs w:val="22"/>
          </w:rPr>
          <w:t>The Queensland Government’s Response to Coronial Recommendations 2011</w:t>
        </w:r>
      </w:hyperlink>
    </w:p>
    <w:sectPr w:rsidR="00526D74" w:rsidRPr="00F026DB" w:rsidSect="00732E22">
      <w:headerReference w:type="default" r:id="rId8"/>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AD" w:rsidRDefault="00AF2CAD" w:rsidP="00D6589B">
      <w:r>
        <w:separator/>
      </w:r>
    </w:p>
  </w:endnote>
  <w:endnote w:type="continuationSeparator" w:id="0">
    <w:p w:rsidR="00AF2CAD" w:rsidRDefault="00AF2CA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AD" w:rsidRDefault="00AF2CAD" w:rsidP="00D6589B">
      <w:r>
        <w:separator/>
      </w:r>
    </w:p>
  </w:footnote>
  <w:footnote w:type="continuationSeparator" w:id="0">
    <w:p w:rsidR="00AF2CAD" w:rsidRDefault="00AF2CA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9E" w:rsidRPr="00937A4A" w:rsidRDefault="004D749E" w:rsidP="004D749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4D749E" w:rsidRPr="00937A4A" w:rsidRDefault="004D749E" w:rsidP="004D749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4D749E" w:rsidRPr="00937A4A" w:rsidRDefault="004D749E" w:rsidP="004D749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2012</w:t>
    </w:r>
  </w:p>
  <w:p w:rsidR="004D749E" w:rsidRDefault="004D749E" w:rsidP="004D749E">
    <w:pPr>
      <w:pStyle w:val="Header"/>
      <w:spacing w:before="120"/>
      <w:rPr>
        <w:rFonts w:ascii="Arial" w:hAnsi="Arial" w:cs="Arial"/>
        <w:b/>
        <w:sz w:val="22"/>
        <w:szCs w:val="22"/>
        <w:u w:val="single"/>
      </w:rPr>
    </w:pPr>
    <w:r>
      <w:rPr>
        <w:rFonts w:ascii="Arial" w:hAnsi="Arial" w:cs="Arial"/>
        <w:b/>
        <w:sz w:val="22"/>
        <w:szCs w:val="22"/>
        <w:u w:val="single"/>
      </w:rPr>
      <w:t>The Queensland Government’s Response to Coronial Recommendations 2011 Report</w:t>
    </w:r>
  </w:p>
  <w:p w:rsidR="004D749E" w:rsidRDefault="004D749E" w:rsidP="004D749E">
    <w:pPr>
      <w:pStyle w:val="Header"/>
      <w:spacing w:before="120"/>
      <w:rPr>
        <w:rFonts w:ascii="Arial" w:hAnsi="Arial" w:cs="Arial"/>
        <w:b/>
        <w:sz w:val="22"/>
        <w:szCs w:val="22"/>
        <w:u w:val="single"/>
      </w:rPr>
    </w:pPr>
    <w:r>
      <w:rPr>
        <w:rFonts w:ascii="Arial" w:hAnsi="Arial" w:cs="Arial"/>
        <w:b/>
        <w:sz w:val="22"/>
        <w:szCs w:val="22"/>
        <w:u w:val="single"/>
      </w:rPr>
      <w:t>Attorney-General and Minister for Justice</w:t>
    </w:r>
  </w:p>
  <w:p w:rsidR="004D749E" w:rsidRDefault="004D749E" w:rsidP="004D749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40AE201A"/>
    <w:multiLevelType w:val="hybridMultilevel"/>
    <w:tmpl w:val="5726B404"/>
    <w:lvl w:ilvl="0" w:tplc="3DCC3BF2">
      <w:start w:val="1"/>
      <w:numFmt w:val="bullet"/>
      <w:lvlText w:val=""/>
      <w:lvlJc w:val="left"/>
      <w:pPr>
        <w:tabs>
          <w:tab w:val="num" w:pos="925"/>
        </w:tabs>
        <w:ind w:left="925" w:hanging="284"/>
      </w:pPr>
      <w:rPr>
        <w:rFonts w:ascii="Symbol" w:hAnsi="Symbol" w:hint="default"/>
        <w:b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576D3D37"/>
    <w:multiLevelType w:val="hybridMultilevel"/>
    <w:tmpl w:val="56C8CA88"/>
    <w:lvl w:ilvl="0" w:tplc="0D804C88">
      <w:start w:val="1"/>
      <w:numFmt w:val="bullet"/>
      <w:lvlText w:val=""/>
      <w:lvlJc w:val="left"/>
      <w:pPr>
        <w:tabs>
          <w:tab w:val="num" w:pos="720"/>
        </w:tabs>
        <w:ind w:left="720" w:hanging="360"/>
      </w:pPr>
      <w:rPr>
        <w:rFonts w:ascii="Symbol" w:hAnsi="Symbol" w:hint="default"/>
      </w:rPr>
    </w:lvl>
    <w:lvl w:ilvl="1" w:tplc="2E8C3168">
      <w:start w:val="1"/>
      <w:numFmt w:val="bullet"/>
      <w:lvlText w:val=""/>
      <w:lvlJc w:val="left"/>
      <w:pPr>
        <w:tabs>
          <w:tab w:val="num" w:pos="1361"/>
        </w:tabs>
        <w:ind w:left="1361" w:hanging="281"/>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A64694F"/>
    <w:multiLevelType w:val="multilevel"/>
    <w:tmpl w:val="123AACF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361"/>
        </w:tabs>
        <w:ind w:left="1361" w:hanging="281"/>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64684259"/>
    <w:multiLevelType w:val="multilevel"/>
    <w:tmpl w:val="2396AC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3"/>
        </w:tabs>
        <w:ind w:left="1443" w:hanging="363"/>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5082678"/>
    <w:multiLevelType w:val="multilevel"/>
    <w:tmpl w:val="335CBA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176F87"/>
    <w:multiLevelType w:val="hybridMultilevel"/>
    <w:tmpl w:val="123AACF6"/>
    <w:lvl w:ilvl="0" w:tplc="0C09000F">
      <w:start w:val="1"/>
      <w:numFmt w:val="decimal"/>
      <w:lvlText w:val="%1."/>
      <w:lvlJc w:val="left"/>
      <w:pPr>
        <w:tabs>
          <w:tab w:val="num" w:pos="720"/>
        </w:tabs>
        <w:ind w:left="720" w:hanging="360"/>
      </w:pPr>
      <w:rPr>
        <w:rFonts w:cs="Times New Roman"/>
      </w:rPr>
    </w:lvl>
    <w:lvl w:ilvl="1" w:tplc="2E8C3168">
      <w:start w:val="1"/>
      <w:numFmt w:val="bullet"/>
      <w:lvlText w:val=""/>
      <w:lvlJc w:val="left"/>
      <w:pPr>
        <w:tabs>
          <w:tab w:val="num" w:pos="1361"/>
        </w:tabs>
        <w:ind w:left="1361" w:hanging="281"/>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4"/>
  </w:num>
  <w:num w:numId="4">
    <w:abstractNumId w:val="5"/>
  </w:num>
  <w:num w:numId="5">
    <w:abstractNumId w:val="1"/>
  </w:num>
  <w:num w:numId="6">
    <w:abstractNumId w:val="3"/>
  </w:num>
  <w:num w:numId="7">
    <w:abstractNumId w:val="2"/>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12244"/>
    <w:rsid w:val="000430DD"/>
    <w:rsid w:val="000501CE"/>
    <w:rsid w:val="00080F8F"/>
    <w:rsid w:val="0008145D"/>
    <w:rsid w:val="000C362E"/>
    <w:rsid w:val="00140936"/>
    <w:rsid w:val="001B1BB2"/>
    <w:rsid w:val="001B75EB"/>
    <w:rsid w:val="001E209B"/>
    <w:rsid w:val="001F5E88"/>
    <w:rsid w:val="0021344B"/>
    <w:rsid w:val="00257957"/>
    <w:rsid w:val="002B5768"/>
    <w:rsid w:val="00323A84"/>
    <w:rsid w:val="00372B34"/>
    <w:rsid w:val="003B5871"/>
    <w:rsid w:val="004C1D37"/>
    <w:rsid w:val="004D749E"/>
    <w:rsid w:val="004E064D"/>
    <w:rsid w:val="004E3AE1"/>
    <w:rsid w:val="00501C66"/>
    <w:rsid w:val="00526D74"/>
    <w:rsid w:val="00537CAB"/>
    <w:rsid w:val="006E47CB"/>
    <w:rsid w:val="00732E22"/>
    <w:rsid w:val="007D4FD6"/>
    <w:rsid w:val="008071E8"/>
    <w:rsid w:val="008A4523"/>
    <w:rsid w:val="008F44CD"/>
    <w:rsid w:val="00906583"/>
    <w:rsid w:val="009F1BFD"/>
    <w:rsid w:val="00A527A5"/>
    <w:rsid w:val="00AD5DBE"/>
    <w:rsid w:val="00AF2CAD"/>
    <w:rsid w:val="00AF5B1E"/>
    <w:rsid w:val="00B8112B"/>
    <w:rsid w:val="00BD5B94"/>
    <w:rsid w:val="00BE2C5F"/>
    <w:rsid w:val="00BF5975"/>
    <w:rsid w:val="00C07656"/>
    <w:rsid w:val="00C1052F"/>
    <w:rsid w:val="00CD4EAC"/>
    <w:rsid w:val="00CE6FBA"/>
    <w:rsid w:val="00CF0D8A"/>
    <w:rsid w:val="00D17478"/>
    <w:rsid w:val="00D374F0"/>
    <w:rsid w:val="00D6589B"/>
    <w:rsid w:val="00D75134"/>
    <w:rsid w:val="00DB6FE7"/>
    <w:rsid w:val="00DE61EC"/>
    <w:rsid w:val="00E44E71"/>
    <w:rsid w:val="00F026DB"/>
    <w:rsid w:val="00F10DF9"/>
    <w:rsid w:val="00F26F4A"/>
    <w:rsid w:val="00F3091D"/>
    <w:rsid w:val="00F56413"/>
    <w:rsid w:val="00F71BC6"/>
    <w:rsid w:val="00F76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Hyperlink">
    <w:name w:val="Hyperlink"/>
    <w:rsid w:val="001F5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Govt%20Response%202011%20cor%20rec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1540</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1791</CharactersWithSpaces>
  <SharedDoc>false</SharedDoc>
  <HyperlinkBase>https://www.cabinet.qld.gov.au/documents/2012/Nov/Coronial recs 2011/</HyperlinkBase>
  <HLinks>
    <vt:vector size="6" baseType="variant">
      <vt:variant>
        <vt:i4>3014691</vt:i4>
      </vt:variant>
      <vt:variant>
        <vt:i4>0</vt:i4>
      </vt:variant>
      <vt:variant>
        <vt:i4>0</vt:i4>
      </vt:variant>
      <vt:variant>
        <vt:i4>5</vt:i4>
      </vt:variant>
      <vt:variant>
        <vt:lpwstr>Attachments/Govt Response 2011 cor recs.pdf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2013-02-21T04:23:00Z</cp:lastPrinted>
  <dcterms:created xsi:type="dcterms:W3CDTF">2017-10-24T23:20:00Z</dcterms:created>
  <dcterms:modified xsi:type="dcterms:W3CDTF">2018-03-06T01:14:00Z</dcterms:modified>
  <cp:category>Coroner,Justice</cp:category>
</cp:coreProperties>
</file>